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A93D5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  <w:bookmarkStart w:id="0" w:name="_Toc413417184"/>
      <w:bookmarkStart w:id="1" w:name="_Toc28511"/>
      <w:bookmarkStart w:id="2" w:name="_Toc7976"/>
    </w:p>
    <w:p w14:paraId="1FEC7446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596CC6C9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D9327BB">
      <w:pPr>
        <w:pStyle w:val="2"/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bookmarkEnd w:id="0"/>
    <w:bookmarkEnd w:id="1"/>
    <w:bookmarkEnd w:id="2"/>
    <w:p w14:paraId="65023CD3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>材料荧光特性校准规范</w:t>
      </w:r>
    </w:p>
    <w:p w14:paraId="4A1BF092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</w:p>
    <w:p w14:paraId="32A06B15">
      <w:pPr>
        <w:pStyle w:val="2"/>
        <w:jc w:val="center"/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Times New Roman"/>
          <w:b/>
          <w:bCs/>
          <w:sz w:val="44"/>
          <w:szCs w:val="44"/>
          <w:lang w:val="en-US" w:eastAsia="zh-CN"/>
        </w:rPr>
        <w:t>编制说明</w:t>
      </w:r>
    </w:p>
    <w:p w14:paraId="1116EE52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E9AD7F9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1BF921B8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71FE23D0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41D80D3E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15F3A6C4">
      <w:pPr>
        <w:jc w:val="center"/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tbl>
      <w:tblPr>
        <w:tblStyle w:val="4"/>
        <w:tblW w:w="62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3895"/>
      </w:tblGrid>
      <w:tr w14:paraId="33B6F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EABA0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主要起草单位：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FC0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中国计量科学研究院     </w:t>
            </w:r>
          </w:p>
        </w:tc>
      </w:tr>
      <w:tr w14:paraId="43065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4D098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参与起草单位：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DBB1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</w:t>
            </w:r>
          </w:p>
        </w:tc>
      </w:tr>
      <w:tr w14:paraId="2E192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C5D3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主要起草人：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999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贾志立 任玲玲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</w:t>
            </w:r>
          </w:p>
        </w:tc>
      </w:tr>
      <w:tr w14:paraId="5793F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6E793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参加起草人：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70E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陶红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      </w:t>
            </w:r>
          </w:p>
        </w:tc>
      </w:tr>
    </w:tbl>
    <w:p w14:paraId="0360692D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47820A31">
      <w:pPr>
        <w:keepNext w:val="0"/>
        <w:keepLines w:val="0"/>
        <w:widowControl/>
        <w:suppressLineNumbers w:val="0"/>
        <w:ind w:firstLine="1860" w:firstLineChars="600"/>
        <w:jc w:val="both"/>
        <w:rPr>
          <w:rFonts w:hint="eastAsia" w:ascii="宋体" w:hAnsi="宋体" w:cs="宋体"/>
          <w:color w:val="000000"/>
          <w:kern w:val="0"/>
          <w:sz w:val="31"/>
          <w:szCs w:val="31"/>
          <w:u w:val="single"/>
          <w:lang w:val="en-US" w:eastAsia="zh-CN" w:bidi="ar"/>
        </w:rPr>
      </w:pPr>
    </w:p>
    <w:p w14:paraId="5D5FFD4E">
      <w:pPr>
        <w:rPr>
          <w:rFonts w:hint="default" w:ascii="Times New Roman" w:hAnsi="Times New Roman" w:cs="Times New Roman"/>
          <w:b w:val="0"/>
          <w:bCs w:val="0"/>
          <w:sz w:val="36"/>
          <w:szCs w:val="36"/>
          <w:lang w:val="en-US" w:eastAsia="zh-CN"/>
        </w:rPr>
      </w:pPr>
    </w:p>
    <w:p w14:paraId="01E57DA1">
      <w:pPr>
        <w:spacing w:line="360" w:lineRule="auto"/>
        <w:rPr>
          <w:rFonts w:hint="eastAsia" w:ascii="黑体" w:hAnsi="黑体" w:eastAsia="黑体" w:cs="黑体"/>
          <w:color w:val="000000"/>
          <w:sz w:val="24"/>
          <w:lang w:eastAsia="zh-CN"/>
        </w:rPr>
      </w:pPr>
    </w:p>
    <w:p w14:paraId="41E75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一、任务来源</w:t>
      </w:r>
    </w:p>
    <w:p w14:paraId="05240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根据2023年国家计量技术法规制修订计划立项，由中国计量科学研究院承担《材料荧光特性校准规范》的制定工作。</w:t>
      </w:r>
    </w:p>
    <w:p w14:paraId="67499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二、制定的意义</w:t>
      </w:r>
    </w:p>
    <w:p w14:paraId="54BAF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材料的荧光特性的测试是材料定性和定量分析中常用的表征方法。测量仪器光路系统中各个元件均会对荧光相对强度产生明显影响，从而严重影响荧光光谱的测量结果，最终影响对材料的定性和定量分析。材料荧光特性校准规范的建立，可以规范采用标准物质对荧光相对强度的校准，确保荧光光谱测量结果的量值统一和准确可靠，进一步支持照明显示、食品药品、环境工程、生物医药等领域产品研发、质量控制和质量评价，因此具有非常重要的意义。</w:t>
      </w:r>
    </w:p>
    <w:p w14:paraId="1022A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我国目前有的规范为JJG 537-2006 荧光分光光度计，在计量特性中没有涉及荧光相对强度的校准，而荧光光谱受到光路中各个元件的影响，需要对荧光相对强度进行校准，从而满足对材料荧光特性准确测量的需求。</w:t>
      </w:r>
    </w:p>
    <w:p w14:paraId="03C59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本校准规范的制定将为照明显示、食品药品、环境工程、生物医药等领域提供技术支撑，为材料荧光特性的准确测量提供技术保障，为在全国范围内建立量传体系提供依据。</w:t>
      </w:r>
    </w:p>
    <w:p w14:paraId="46C37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三、编写格式</w:t>
      </w:r>
    </w:p>
    <w:p w14:paraId="3A85B9D0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编写格式按照JJF 1071-2010《国家计量校准规范》中的相关要求进行编写。</w:t>
      </w:r>
    </w:p>
    <w:p w14:paraId="20F25F71">
      <w:pPr>
        <w:spacing w:line="360" w:lineRule="auto"/>
        <w:rPr>
          <w:rFonts w:hint="default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四、编写过程</w:t>
      </w:r>
    </w:p>
    <w:p w14:paraId="1FB471D8"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2023年7月下达《2023年国家计量技术规范制定、修订及宣贯计划》的通知。</w:t>
      </w:r>
    </w:p>
    <w:p w14:paraId="5A92BB2E"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2023年8月-9月，通过调研确定校准规范中的计量特性，做到科学合理。</w:t>
      </w:r>
    </w:p>
    <w:p w14:paraId="06C7D225">
      <w:p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2023年10月-12月，通过调研确定针对计量特性的校准条件和校准方法，并进行相关校准实验。</w:t>
      </w:r>
    </w:p>
    <w:p w14:paraId="25DC8436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2024年1月-3月，</w:t>
      </w:r>
      <w:r>
        <w:rPr>
          <w:rFonts w:hint="eastAsia"/>
          <w:sz w:val="24"/>
          <w:szCs w:val="24"/>
          <w:lang w:val="en-US" w:eastAsia="zh-CN"/>
        </w:rPr>
        <w:t>进一步进行校准方法的实验，完善校准方法。</w:t>
      </w:r>
    </w:p>
    <w:p w14:paraId="63BABB18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2024年4月-6月，</w:t>
      </w:r>
      <w:r>
        <w:rPr>
          <w:rFonts w:hint="eastAsia"/>
          <w:sz w:val="24"/>
          <w:szCs w:val="24"/>
          <w:lang w:val="en-US" w:eastAsia="zh-CN"/>
        </w:rPr>
        <w:t>校准规范草案稿的编写，进行不确定度评定。</w:t>
      </w:r>
    </w:p>
    <w:p w14:paraId="3BBBF5B7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2024年7月-8月，</w:t>
      </w:r>
      <w:r>
        <w:rPr>
          <w:rFonts w:hint="eastAsia"/>
          <w:sz w:val="24"/>
          <w:szCs w:val="24"/>
          <w:lang w:val="en-US" w:eastAsia="zh-CN"/>
        </w:rPr>
        <w:t>校准规范草案稿的修改和完善，完成实验报告、不确定度评定报告和编制说明。</w:t>
      </w:r>
    </w:p>
    <w:p w14:paraId="7091735E">
      <w:p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2024年9月-12月，</w:t>
      </w:r>
      <w:r>
        <w:rPr>
          <w:rFonts w:hint="eastAsia"/>
          <w:sz w:val="24"/>
          <w:szCs w:val="24"/>
          <w:lang w:val="en-US" w:eastAsia="zh-CN"/>
        </w:rPr>
        <w:t>校准规范形成送审稿，送审并征求意见。</w:t>
      </w:r>
    </w:p>
    <w:p w14:paraId="34DBFF9C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2024年12月，</w:t>
      </w:r>
      <w:r>
        <w:rPr>
          <w:rFonts w:hint="eastAsia"/>
          <w:sz w:val="24"/>
          <w:szCs w:val="24"/>
          <w:lang w:val="en-US" w:eastAsia="zh-CN"/>
        </w:rPr>
        <w:t>召开校准规范审定会。</w:t>
      </w:r>
    </w:p>
    <w:p w14:paraId="46A9F7C2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2025年1月，</w:t>
      </w:r>
      <w:r>
        <w:rPr>
          <w:rFonts w:hint="eastAsia"/>
          <w:sz w:val="24"/>
          <w:szCs w:val="24"/>
          <w:lang w:val="en-US" w:eastAsia="zh-CN"/>
        </w:rPr>
        <w:t>修改校准规范，形成报批稿。</w:t>
      </w:r>
    </w:p>
    <w:p w14:paraId="1AB40F68">
      <w:pPr>
        <w:spacing w:line="360" w:lineRule="auto"/>
        <w:rPr>
          <w:rFonts w:hint="default" w:eastAsia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highlight w:val="none"/>
          <w:lang w:eastAsia="zh-CN"/>
        </w:rPr>
        <w:t>、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制定的依据</w:t>
      </w:r>
    </w:p>
    <w:p w14:paraId="75C78212">
      <w:pPr>
        <w:spacing w:line="360" w:lineRule="auto"/>
        <w:ind w:firstLine="480"/>
        <w:rPr>
          <w:rFonts w:hint="eastAsia"/>
          <w:bCs/>
          <w:sz w:val="24"/>
          <w:highlight w:val="none"/>
        </w:rPr>
      </w:pPr>
      <w:r>
        <w:rPr>
          <w:rFonts w:hint="eastAsia"/>
          <w:bCs/>
          <w:sz w:val="24"/>
          <w:highlight w:val="none"/>
        </w:rPr>
        <w:t>JJF 1071</w:t>
      </w:r>
      <w:r>
        <w:rPr>
          <w:rFonts w:hint="eastAsia"/>
          <w:sz w:val="24"/>
          <w:szCs w:val="24"/>
          <w:highlight w:val="none"/>
        </w:rPr>
        <w:t xml:space="preserve">-2010 </w:t>
      </w:r>
      <w:r>
        <w:rPr>
          <w:rFonts w:hint="eastAsia"/>
          <w:bCs/>
          <w:sz w:val="24"/>
          <w:highlight w:val="none"/>
        </w:rPr>
        <w:t>国家计量校准规范编写规则</w:t>
      </w:r>
    </w:p>
    <w:p w14:paraId="55B4BD57">
      <w:pPr>
        <w:spacing w:line="360" w:lineRule="auto"/>
        <w:ind w:firstLine="480"/>
        <w:rPr>
          <w:rFonts w:hint="eastAsia"/>
          <w:bCs/>
          <w:sz w:val="24"/>
          <w:highlight w:val="none"/>
        </w:rPr>
      </w:pPr>
      <w:r>
        <w:rPr>
          <w:sz w:val="24"/>
        </w:rPr>
        <w:t>JJF</w:t>
      </w:r>
      <w:r>
        <w:rPr>
          <w:rFonts w:hint="eastAsia"/>
          <w:sz w:val="24"/>
        </w:rPr>
        <w:t xml:space="preserve"> </w:t>
      </w:r>
      <w:r>
        <w:rPr>
          <w:sz w:val="24"/>
        </w:rPr>
        <w:t>1001</w:t>
      </w:r>
      <w:r>
        <w:rPr>
          <w:rFonts w:hint="eastAsia"/>
          <w:sz w:val="24"/>
          <w:lang w:val="en-US" w:eastAsia="zh-CN"/>
        </w:rPr>
        <w:t xml:space="preserve">-2011 </w:t>
      </w:r>
      <w:r>
        <w:rPr>
          <w:sz w:val="24"/>
        </w:rPr>
        <w:t>通用计量术语及定义</w:t>
      </w:r>
    </w:p>
    <w:p w14:paraId="4FF013EA">
      <w:pPr>
        <w:spacing w:line="360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JJF 1059.1</w:t>
      </w:r>
      <w:r>
        <w:rPr>
          <w:rFonts w:hint="eastAsia" w:hAnsi="宋体"/>
          <w:color w:val="000000"/>
          <w:sz w:val="24"/>
          <w:lang w:val="en-US" w:eastAsia="zh-CN"/>
        </w:rPr>
        <w:t xml:space="preserve">-2012 </w:t>
      </w:r>
      <w:r>
        <w:rPr>
          <w:rFonts w:hAnsi="宋体"/>
          <w:color w:val="000000"/>
          <w:sz w:val="24"/>
        </w:rPr>
        <w:t>测量不确定度评定与表示</w:t>
      </w:r>
    </w:p>
    <w:p w14:paraId="56C43414">
      <w:pPr>
        <w:spacing w:line="360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JJF 1094</w:t>
      </w:r>
      <w:r>
        <w:rPr>
          <w:rFonts w:hint="eastAsia" w:hAnsi="宋体"/>
          <w:color w:val="000000"/>
          <w:sz w:val="24"/>
          <w:lang w:val="en-US" w:eastAsia="zh-CN"/>
        </w:rPr>
        <w:t xml:space="preserve">-2002 </w:t>
      </w:r>
      <w:r>
        <w:rPr>
          <w:rFonts w:hAnsi="宋体"/>
          <w:color w:val="000000"/>
          <w:sz w:val="24"/>
        </w:rPr>
        <w:t>测量仪器特性评定</w:t>
      </w:r>
    </w:p>
    <w:p w14:paraId="059A1083">
      <w:pPr>
        <w:spacing w:line="360" w:lineRule="auto"/>
        <w:ind w:firstLine="480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JJG 537-2006 荧光分光光度计</w:t>
      </w:r>
    </w:p>
    <w:p w14:paraId="0EFAB529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GB/T 15489.6</w:t>
      </w:r>
      <w:r>
        <w:rPr>
          <w:rFonts w:hint="eastAsia"/>
          <w:sz w:val="24"/>
          <w:highlight w:val="none"/>
          <w:lang w:val="en-US" w:eastAsia="zh-CN"/>
        </w:rPr>
        <w:t>-2018</w:t>
      </w:r>
      <w:r>
        <w:rPr>
          <w:rFonts w:hint="eastAsia"/>
          <w:sz w:val="24"/>
          <w:highlight w:val="none"/>
        </w:rPr>
        <w:t>《滤光玻璃测试方法 第6部分：荧光特性》</w:t>
      </w:r>
    </w:p>
    <w:p w14:paraId="584EAB67">
      <w:pPr>
        <w:numPr>
          <w:ilvl w:val="0"/>
          <w:numId w:val="0"/>
        </w:numPr>
        <w:spacing w:line="360" w:lineRule="auto"/>
        <w:ind w:firstLine="562" w:firstLineChars="200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六、规范的主要内容</w:t>
      </w:r>
    </w:p>
    <w:p w14:paraId="3FDFB566">
      <w:pPr>
        <w:numPr>
          <w:ilvl w:val="0"/>
          <w:numId w:val="1"/>
        </w:num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关于范围</w:t>
      </w:r>
    </w:p>
    <w:p w14:paraId="0655DE1C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本规范适用于材料荧光特性测量的校准。</w:t>
      </w:r>
    </w:p>
    <w:p w14:paraId="08C1A95F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关于计量特性</w:t>
      </w:r>
    </w:p>
    <w:p w14:paraId="162CFF61">
      <w:pPr>
        <w:numPr>
          <w:ilvl w:val="0"/>
          <w:numId w:val="0"/>
        </w:numPr>
        <w:spacing w:line="360" w:lineRule="auto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   计量特性包括：荧光相对强度校准曲线、荧光相对强度测量重复性、荧光发射光谱峰值波长的测量重复性。</w:t>
      </w:r>
    </w:p>
    <w:p w14:paraId="5BE20B1E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关于校准条件</w:t>
      </w:r>
    </w:p>
    <w:p w14:paraId="720A4A93">
      <w:pPr>
        <w:numPr>
          <w:ilvl w:val="0"/>
          <w:numId w:val="0"/>
        </w:numPr>
        <w:spacing w:line="360" w:lineRule="auto"/>
        <w:rPr>
          <w:rFonts w:hint="eastAsia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 xml:space="preserve">   包括</w:t>
      </w:r>
      <w:r>
        <w:rPr>
          <w:rFonts w:hint="eastAsia"/>
          <w:sz w:val="24"/>
          <w:szCs w:val="24"/>
          <w:highlight w:val="none"/>
        </w:rPr>
        <w:t>校准环境条件</w:t>
      </w:r>
      <w:r>
        <w:rPr>
          <w:rFonts w:hint="eastAsia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/>
          <w:sz w:val="24"/>
          <w:szCs w:val="24"/>
          <w:highlight w:val="none"/>
        </w:rPr>
        <w:t>测量标准及其他设备</w:t>
      </w:r>
      <w:r>
        <w:rPr>
          <w:rFonts w:hint="eastAsia" w:ascii="宋体"/>
          <w:sz w:val="24"/>
          <w:szCs w:val="24"/>
          <w:highlight w:val="none"/>
          <w:lang w:eastAsia="zh-CN"/>
        </w:rPr>
        <w:t>。</w:t>
      </w:r>
    </w:p>
    <w:p w14:paraId="5EF76ED6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关于校准方法</w:t>
      </w:r>
    </w:p>
    <w:p w14:paraId="199D3E04">
      <w:pPr>
        <w:numPr>
          <w:ilvl w:val="0"/>
          <w:numId w:val="0"/>
        </w:numPr>
        <w:spacing w:line="360" w:lineRule="auto"/>
        <w:ind w:firstLine="480"/>
        <w:rPr>
          <w:rFonts w:hint="eastAsia"/>
          <w:sz w:val="24"/>
          <w:highlight w:val="none"/>
          <w:lang w:val="en-US" w:eastAsia="zh-CN"/>
        </w:rPr>
      </w:pPr>
      <w:bookmarkStart w:id="3" w:name="_GoBack"/>
      <w:bookmarkEnd w:id="3"/>
      <w:r>
        <w:rPr>
          <w:rFonts w:hint="eastAsia"/>
          <w:sz w:val="24"/>
          <w:highlight w:val="none"/>
        </w:rPr>
        <w:t>校准前准备</w:t>
      </w:r>
      <w:r>
        <w:rPr>
          <w:rFonts w:hint="eastAsia"/>
          <w:sz w:val="24"/>
          <w:highlight w:val="none"/>
          <w:lang w:val="en-US" w:eastAsia="zh-CN"/>
        </w:rPr>
        <w:t>需要将荧光光谱仪的光源进行预热。</w:t>
      </w:r>
    </w:p>
    <w:p w14:paraId="50C3111A">
      <w:pPr>
        <w:numPr>
          <w:ilvl w:val="0"/>
          <w:numId w:val="0"/>
        </w:numPr>
        <w:spacing w:line="360" w:lineRule="auto"/>
        <w:ind w:firstLine="480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采用标准汞氩灯对</w:t>
      </w:r>
      <w:r>
        <w:rPr>
          <w:rFonts w:hint="eastAsia"/>
          <w:sz w:val="24"/>
          <w:highlight w:val="none"/>
        </w:rPr>
        <w:t>发射侧单色器波长</w:t>
      </w:r>
      <w:r>
        <w:rPr>
          <w:rFonts w:hint="eastAsia"/>
          <w:sz w:val="24"/>
          <w:highlight w:val="none"/>
          <w:lang w:val="en-US" w:eastAsia="zh-CN"/>
        </w:rPr>
        <w:t>进行</w:t>
      </w:r>
      <w:r>
        <w:rPr>
          <w:rFonts w:hint="eastAsia"/>
          <w:sz w:val="24"/>
          <w:highlight w:val="none"/>
        </w:rPr>
        <w:t>校准</w:t>
      </w:r>
      <w:r>
        <w:rPr>
          <w:rFonts w:hint="eastAsia"/>
          <w:sz w:val="24"/>
          <w:highlight w:val="none"/>
          <w:lang w:val="en-US" w:eastAsia="zh-CN"/>
        </w:rPr>
        <w:t>。</w:t>
      </w:r>
    </w:p>
    <w:p w14:paraId="67AEB612">
      <w:pPr>
        <w:numPr>
          <w:ilvl w:val="0"/>
          <w:numId w:val="0"/>
        </w:numPr>
        <w:spacing w:line="360" w:lineRule="auto"/>
        <w:ind w:left="479" w:leftChars="228" w:firstLine="0" w:firstLineChars="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采用荧光相对强度的标准光谱除以测量光谱，获得荧光相对强度校准曲线。</w:t>
      </w:r>
      <w:r>
        <w:rPr>
          <w:rFonts w:hint="eastAsia"/>
          <w:sz w:val="24"/>
          <w:szCs w:val="24"/>
        </w:rPr>
        <w:t>采用</w:t>
      </w:r>
      <w:r>
        <w:rPr>
          <w:rFonts w:hint="eastAsia"/>
          <w:sz w:val="24"/>
          <w:szCs w:val="24"/>
          <w:lang w:val="en-US" w:eastAsia="zh-CN"/>
        </w:rPr>
        <w:t>被测荧光材料的测量光谱乘以荧光</w:t>
      </w:r>
      <w:r>
        <w:rPr>
          <w:rFonts w:hint="eastAsia"/>
          <w:sz w:val="24"/>
          <w:highlight w:val="none"/>
          <w:lang w:val="en-US" w:eastAsia="zh-CN"/>
        </w:rPr>
        <w:t>相对强度校准曲线，获得校准后的荧光发射光谱。</w:t>
      </w:r>
    </w:p>
    <w:p w14:paraId="6811153E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highlight w:val="none"/>
          <w:lang w:eastAsia="zh-CN"/>
        </w:rPr>
      </w:pPr>
      <w:r>
        <w:rPr>
          <w:rFonts w:hint="eastAsia"/>
          <w:sz w:val="24"/>
          <w:highlight w:val="none"/>
          <w:lang w:val="en-US" w:eastAsia="zh-CN"/>
        </w:rPr>
        <w:t>不同波长下荧光相对强度的</w:t>
      </w:r>
      <w:r>
        <w:rPr>
          <w:rFonts w:hint="eastAsia"/>
          <w:sz w:val="24"/>
          <w:highlight w:val="none"/>
        </w:rPr>
        <w:t>实验标准差为</w:t>
      </w:r>
      <w:r>
        <w:rPr>
          <w:rFonts w:hint="eastAsia"/>
          <w:sz w:val="24"/>
          <w:highlight w:val="none"/>
          <w:lang w:val="en-US" w:eastAsia="zh-CN"/>
        </w:rPr>
        <w:t>荧光相对强度的</w:t>
      </w:r>
      <w:r>
        <w:rPr>
          <w:rFonts w:hint="eastAsia"/>
          <w:sz w:val="24"/>
          <w:highlight w:val="none"/>
        </w:rPr>
        <w:t>测量重复性</w:t>
      </w:r>
      <w:r>
        <w:rPr>
          <w:rFonts w:hint="eastAsia"/>
          <w:sz w:val="24"/>
          <w:highlight w:val="none"/>
          <w:lang w:eastAsia="zh-CN"/>
        </w:rPr>
        <w:t>。</w:t>
      </w:r>
    </w:p>
    <w:p w14:paraId="2409B1F2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荧光发射光谱峰值波长</w:t>
      </w:r>
      <w:r>
        <w:rPr>
          <w:rFonts w:hint="eastAsia"/>
          <w:sz w:val="24"/>
          <w:highlight w:val="none"/>
        </w:rPr>
        <w:t>的</w:t>
      </w:r>
      <w:r>
        <w:rPr>
          <w:rFonts w:hint="eastAsia"/>
          <w:sz w:val="24"/>
          <w:highlight w:val="none"/>
          <w:lang w:val="en-US" w:eastAsia="zh-CN"/>
        </w:rPr>
        <w:t>的</w:t>
      </w:r>
      <w:r>
        <w:rPr>
          <w:rFonts w:hint="eastAsia"/>
          <w:sz w:val="24"/>
          <w:highlight w:val="none"/>
        </w:rPr>
        <w:t>实验标准差</w:t>
      </w:r>
      <w:r>
        <w:rPr>
          <w:rFonts w:hint="eastAsia"/>
          <w:sz w:val="24"/>
          <w:highlight w:val="none"/>
          <w:lang w:val="en-US" w:eastAsia="zh-CN"/>
        </w:rPr>
        <w:t>为荧光发射光谱峰值波长的</w:t>
      </w:r>
      <w:r>
        <w:rPr>
          <w:rFonts w:hint="eastAsia"/>
          <w:sz w:val="24"/>
          <w:highlight w:val="none"/>
        </w:rPr>
        <w:t>测量重复性</w:t>
      </w:r>
      <w:r>
        <w:rPr>
          <w:rFonts w:hint="eastAsia"/>
          <w:sz w:val="24"/>
          <w:highlight w:val="none"/>
          <w:lang w:val="en-US" w:eastAsia="zh-CN"/>
        </w:rPr>
        <w:t>。</w:t>
      </w:r>
    </w:p>
    <w:p w14:paraId="30EEE65D">
      <w:pPr>
        <w:numPr>
          <w:ilvl w:val="0"/>
          <w:numId w:val="1"/>
        </w:numPr>
        <w:spacing w:line="360" w:lineRule="auto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关于附录的设置</w:t>
      </w:r>
    </w:p>
    <w:p w14:paraId="0AE7B214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附录包括三项：</w:t>
      </w:r>
    </w:p>
    <w:p w14:paraId="2A978833">
      <w:pPr>
        <w:pStyle w:val="3"/>
        <w:tabs>
          <w:tab w:val="right" w:leader="dot" w:pos="8844"/>
          <w:tab w:val="clear" w:pos="8834"/>
        </w:tabs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_Toc11311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附录A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_Toc12424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  <w:lang w:val="en-US" w:eastAsia="zh-CN"/>
        </w:rPr>
        <w:t>校准结果的不确定度评定示例</w:t>
      </w:r>
      <w:r>
        <w:rPr>
          <w:sz w:val="24"/>
          <w:szCs w:val="24"/>
        </w:rPr>
        <w:fldChar w:fldCharType="end"/>
      </w:r>
    </w:p>
    <w:p w14:paraId="669F5BD5">
      <w:pPr>
        <w:pStyle w:val="3"/>
        <w:tabs>
          <w:tab w:val="right" w:leader="dot" w:pos="8844"/>
          <w:tab w:val="clear" w:pos="8834"/>
        </w:tabs>
        <w:ind w:firstLine="480" w:firstLineChars="200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_Toc13168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附录B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_Toc20495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校准记录格式</w:t>
      </w:r>
      <w:r>
        <w:rPr>
          <w:sz w:val="24"/>
          <w:szCs w:val="24"/>
        </w:rPr>
        <w:fldChar w:fldCharType="end"/>
      </w:r>
    </w:p>
    <w:p w14:paraId="7D70ED23">
      <w:pPr>
        <w:numPr>
          <w:ilvl w:val="0"/>
          <w:numId w:val="0"/>
        </w:numPr>
        <w:spacing w:line="360" w:lineRule="auto"/>
        <w:ind w:firstLine="480" w:firstLineChars="200"/>
        <w:rPr>
          <w:rFonts w:hint="default"/>
          <w:sz w:val="24"/>
          <w:highlight w:val="none"/>
          <w:lang w:val="en-US" w:eastAsia="zh-CN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_Toc19104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附录C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_Toc26701 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校准证书（内页）格式</w:t>
      </w:r>
      <w:r>
        <w:rPr>
          <w:sz w:val="24"/>
          <w:szCs w:val="24"/>
        </w:rPr>
        <w:fldChar w:fldCharType="end"/>
      </w:r>
    </w:p>
    <w:p w14:paraId="7CC5C96C">
      <w:pPr>
        <w:numPr>
          <w:ilvl w:val="0"/>
          <w:numId w:val="0"/>
        </w:numPr>
        <w:spacing w:line="360" w:lineRule="auto"/>
        <w:rPr>
          <w:rFonts w:hint="default"/>
          <w:b/>
          <w:bCs/>
          <w:sz w:val="28"/>
          <w:szCs w:val="28"/>
          <w:highlight w:val="none"/>
          <w:lang w:val="en-US" w:eastAsia="zh-CN"/>
        </w:rPr>
      </w:pPr>
    </w:p>
    <w:p w14:paraId="33DD4BB7"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</w:p>
    <w:p w14:paraId="7718AD15">
      <w:pPr>
        <w:ind w:firstLine="480" w:firstLineChars="200"/>
        <w:rPr>
          <w:rFonts w:hint="eastAsia"/>
          <w:sz w:val="24"/>
          <w:highlight w:val="none"/>
          <w:lang w:val="en-US" w:eastAsia="zh-CN"/>
        </w:rPr>
      </w:pPr>
    </w:p>
    <w:p w14:paraId="13669002">
      <w:pPr>
        <w:rPr>
          <w:rFonts w:hint="eastAsia"/>
          <w:sz w:val="24"/>
          <w:highlight w:val="none"/>
        </w:rPr>
      </w:pPr>
    </w:p>
    <w:p w14:paraId="5444F879">
      <w:pPr>
        <w:ind w:firstLine="720" w:firstLineChars="300"/>
        <w:rPr>
          <w:rFonts w:hint="eastAsia"/>
          <w:sz w:val="24"/>
          <w:highlight w:val="none"/>
        </w:rPr>
      </w:pPr>
    </w:p>
    <w:p w14:paraId="4CDA39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0DBE09"/>
    <w:multiLevelType w:val="singleLevel"/>
    <w:tmpl w:val="480DBE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MDA3MmIyYjljYTEyZDI5ZjBmZjFkZGFhODdiMjYifQ=="/>
  </w:docVars>
  <w:rsids>
    <w:rsidRoot w:val="00000000"/>
    <w:rsid w:val="034A5312"/>
    <w:rsid w:val="03647119"/>
    <w:rsid w:val="0438160E"/>
    <w:rsid w:val="06F51A39"/>
    <w:rsid w:val="0749370E"/>
    <w:rsid w:val="087415D0"/>
    <w:rsid w:val="0A6D7B38"/>
    <w:rsid w:val="0AEE2530"/>
    <w:rsid w:val="0B4526F0"/>
    <w:rsid w:val="0B846A84"/>
    <w:rsid w:val="0BFC5C4D"/>
    <w:rsid w:val="0C931AD8"/>
    <w:rsid w:val="0CA217EA"/>
    <w:rsid w:val="10512C80"/>
    <w:rsid w:val="10DA5ED0"/>
    <w:rsid w:val="123B265F"/>
    <w:rsid w:val="13EC2222"/>
    <w:rsid w:val="17932320"/>
    <w:rsid w:val="18B06F86"/>
    <w:rsid w:val="1A6B3F22"/>
    <w:rsid w:val="1F78519D"/>
    <w:rsid w:val="1FA41FB8"/>
    <w:rsid w:val="1FFD1C9B"/>
    <w:rsid w:val="1FFE0318"/>
    <w:rsid w:val="20436F19"/>
    <w:rsid w:val="20981D82"/>
    <w:rsid w:val="250E7771"/>
    <w:rsid w:val="259863A2"/>
    <w:rsid w:val="26EE1F80"/>
    <w:rsid w:val="27840543"/>
    <w:rsid w:val="28BE630C"/>
    <w:rsid w:val="2A4425E4"/>
    <w:rsid w:val="2A6F5B10"/>
    <w:rsid w:val="2B0005C1"/>
    <w:rsid w:val="2CD63C1A"/>
    <w:rsid w:val="2F9D601C"/>
    <w:rsid w:val="31E542D4"/>
    <w:rsid w:val="384004B6"/>
    <w:rsid w:val="395A0580"/>
    <w:rsid w:val="3AA50B99"/>
    <w:rsid w:val="3B4C6D41"/>
    <w:rsid w:val="3B8A1470"/>
    <w:rsid w:val="3C2228BC"/>
    <w:rsid w:val="3CA41700"/>
    <w:rsid w:val="3EC551B7"/>
    <w:rsid w:val="3FCE4C2F"/>
    <w:rsid w:val="40AD635E"/>
    <w:rsid w:val="411B15BA"/>
    <w:rsid w:val="415B010F"/>
    <w:rsid w:val="462A2151"/>
    <w:rsid w:val="47947ED7"/>
    <w:rsid w:val="493A78FE"/>
    <w:rsid w:val="495A5150"/>
    <w:rsid w:val="4A5D7615"/>
    <w:rsid w:val="4BB675E5"/>
    <w:rsid w:val="4C43426F"/>
    <w:rsid w:val="50F8401E"/>
    <w:rsid w:val="52042732"/>
    <w:rsid w:val="53100598"/>
    <w:rsid w:val="53990C22"/>
    <w:rsid w:val="54E41CEF"/>
    <w:rsid w:val="5A9E3242"/>
    <w:rsid w:val="5B324BCF"/>
    <w:rsid w:val="5D5800B9"/>
    <w:rsid w:val="5E2F405E"/>
    <w:rsid w:val="5E455888"/>
    <w:rsid w:val="60481596"/>
    <w:rsid w:val="615E7248"/>
    <w:rsid w:val="61F07FA8"/>
    <w:rsid w:val="64B10575"/>
    <w:rsid w:val="66456B14"/>
    <w:rsid w:val="68A21841"/>
    <w:rsid w:val="6A1F1FCE"/>
    <w:rsid w:val="6C8D35F8"/>
    <w:rsid w:val="6E6C7053"/>
    <w:rsid w:val="6F0B5C80"/>
    <w:rsid w:val="700A5D1B"/>
    <w:rsid w:val="70647B8D"/>
    <w:rsid w:val="721A47FB"/>
    <w:rsid w:val="72666C7A"/>
    <w:rsid w:val="73AA26AC"/>
    <w:rsid w:val="747566EF"/>
    <w:rsid w:val="759E3B4B"/>
    <w:rsid w:val="76982C90"/>
    <w:rsid w:val="778F195E"/>
    <w:rsid w:val="7B5436C8"/>
    <w:rsid w:val="7BEB5B0A"/>
    <w:rsid w:val="7CBE34ED"/>
    <w:rsid w:val="7EAD18D8"/>
    <w:rsid w:val="7EC547EC"/>
    <w:rsid w:val="7F54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outlineLvl w:val="0"/>
    </w:pPr>
    <w:rPr>
      <w:rFonts w:eastAsia="黑体"/>
      <w:b/>
      <w:kern w:val="44"/>
      <w:sz w:val="24"/>
      <w:szCs w:val="2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autoRedefine/>
    <w:qFormat/>
    <w:uiPriority w:val="39"/>
    <w:pPr>
      <w:tabs>
        <w:tab w:val="right" w:leader="dot" w:pos="8834"/>
      </w:tabs>
      <w:spacing w:line="360" w:lineRule="auto"/>
    </w:pPr>
  </w:style>
  <w:style w:type="character" w:customStyle="1" w:styleId="6">
    <w:name w:val="font11"/>
    <w:basedOn w:val="5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0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1272</Words>
  <Characters>1418</Characters>
  <Lines>0</Lines>
  <Paragraphs>0</Paragraphs>
  <TotalTime>0</TotalTime>
  <ScaleCrop>false</ScaleCrop>
  <LinksUpToDate>false</LinksUpToDate>
  <CharactersWithSpaces>1504</CharactersWithSpaces>
  <Application>WPS Office_12.1.0.18329_F1E327BC-269C-435d-A152-05C5408002CA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2022-11-06T15:29:00Z</dcterms:created>
  <dc:creator>jzl</dc:creator>
  <cp:lastModifiedBy>jiazl</cp:lastModifiedBy>
  <dcterms:modified xsi:type="dcterms:W3CDTF">2024-09-28T15:39:45Z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2052-12.1.0.18329</vt:lpwstr>
  </property>
  <property fmtid="{D5CDD505-2E9C-101B-9397-08002B2CF9AE}" pid="3" name="ICV">
    <vt:lpwstr>B40BBA61717346508B733E590A912A6C</vt:lpwstr>
  </property>
</Properties>
</file>